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18" w:rsidRPr="00C02440" w:rsidRDefault="00910FEE">
      <w:pPr>
        <w:rPr>
          <w:b/>
        </w:rPr>
      </w:pPr>
      <w:r w:rsidRPr="00C02440">
        <w:rPr>
          <w:b/>
        </w:rPr>
        <w:t>Priedas Nr</w:t>
      </w:r>
      <w:r w:rsidR="007F788F" w:rsidRPr="00C02440">
        <w:rPr>
          <w:b/>
        </w:rPr>
        <w:t xml:space="preserve">. </w:t>
      </w:r>
      <w:r w:rsidR="00D44181">
        <w:rPr>
          <w:b/>
        </w:rPr>
        <w:t>7</w:t>
      </w:r>
      <w:r w:rsidR="007F788F" w:rsidRPr="00C02440">
        <w:rPr>
          <w:b/>
        </w:rPr>
        <w:t>: L</w:t>
      </w:r>
      <w:r w:rsidRPr="00C02440">
        <w:rPr>
          <w:b/>
        </w:rPr>
        <w:t>iteratūros sąrašas</w:t>
      </w:r>
    </w:p>
    <w:p w:rsidR="007F788F" w:rsidRPr="00C02440" w:rsidRDefault="007F788F" w:rsidP="007F788F">
      <w:pPr>
        <w:pStyle w:val="ListParagraph"/>
      </w:pP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 xml:space="preserve">Apvalaus stalo diskusija „Konkurencinga miesto ekonomika“ </w:t>
      </w:r>
      <w:r w:rsidRPr="00C02440">
        <w:rPr>
          <w:rFonts w:eastAsia="Times New Roman"/>
          <w:kern w:val="20"/>
        </w:rPr>
        <w:t>dėl Vilniaus miesto 2010 – 2020 m. strateginio plano Vilniaus miesto savivaldybės tarybos narių ir administracijos darbuotojų apklausa dėl Vilniaus miesto 2010 – 2020 m. strateginio plano,</w:t>
      </w:r>
      <w:r w:rsidRPr="00C02440">
        <w:rPr>
          <w:rFonts w:eastAsia="Calibri"/>
        </w:rPr>
        <w:t xml:space="preserve"> Vilniaus miesto savivaldybės administracija / </w:t>
      </w:r>
      <w:r w:rsidRPr="00C02440">
        <w:t>UAB „Ekonominės konsultacijos ir tyrimai“, UAB „SAVVIN“ ir VšĮ „Lietuvos savivaldybių asociacijos mokymo ir konsultavimo centras“</w:t>
      </w:r>
      <w:r w:rsidR="000E6694" w:rsidRPr="00C02440">
        <w:t>, 2010;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Cs/>
        </w:rPr>
      </w:pPr>
      <w:r w:rsidRPr="00C02440">
        <w:rPr>
          <w:bCs/>
        </w:rPr>
        <w:t xml:space="preserve">Best Practice Study: </w:t>
      </w:r>
      <w:r w:rsidRPr="00BE53DC">
        <w:rPr>
          <w:bCs/>
        </w:rPr>
        <w:t xml:space="preserve">City destinations </w:t>
      </w:r>
      <w:r w:rsidRPr="00C02440">
        <w:rPr>
          <w:bCs/>
        </w:rPr>
        <w:t>t</w:t>
      </w:r>
      <w:r w:rsidRPr="00BE53DC">
        <w:rPr>
          <w:bCs/>
        </w:rPr>
        <w:t>argeting Chinese visitors</w:t>
      </w:r>
      <w:r w:rsidRPr="00C02440">
        <w:rPr>
          <w:bCs/>
        </w:rPr>
        <w:t>, Perspectives for Scandinavian city tourism, 2013;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 xml:space="preserve">Berlin Partner für Wirtschaft und Technologie , </w:t>
      </w:r>
      <w:hyperlink r:id="rId6" w:history="1">
        <w:r w:rsidR="000E6694" w:rsidRPr="00C02440">
          <w:rPr>
            <w:rStyle w:val="Hyperlink"/>
          </w:rPr>
          <w:t>http://www.berlin-partner.de/marketing/markenkampagne.html</w:t>
        </w:r>
      </w:hyperlink>
      <w:r w:rsidR="000E6694" w:rsidRPr="00C02440">
        <w:t>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 xml:space="preserve">Berlyno oficialus internetinis tinklalapis, </w:t>
      </w:r>
      <w:hyperlink r:id="rId7" w:history="1">
        <w:r w:rsidRPr="00C02440">
          <w:rPr>
            <w:rStyle w:val="Hyperlink"/>
            <w:color w:val="auto"/>
          </w:rPr>
          <w:t>http://www.berlin.de/</w:t>
        </w:r>
      </w:hyperlink>
      <w:r w:rsidR="000E6694" w:rsidRPr="00C02440">
        <w:t>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C02440">
        <w:t xml:space="preserve">ES statistikos tarnyba, </w:t>
      </w:r>
      <w:hyperlink r:id="rId8" w:history="1">
        <w:r w:rsidRPr="00C02440">
          <w:rPr>
            <w:rStyle w:val="Hyperlink"/>
            <w:color w:val="auto"/>
          </w:rPr>
          <w:t>http://epp.eurostat.ec.europa.eu/portal/page/portal/eurostat/home/</w:t>
        </w:r>
      </w:hyperlink>
      <w:r w:rsidRPr="00C02440">
        <w:t xml:space="preserve">; 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C02440">
        <w:rPr>
          <w:bCs/>
        </w:rPr>
        <w:t xml:space="preserve">European Market Study </w:t>
      </w:r>
      <w:r w:rsidRPr="00BE53DC">
        <w:rPr>
          <w:bCs/>
        </w:rPr>
        <w:t xml:space="preserve">Statistical Benchmark Analysis of Chinese market growth potential </w:t>
      </w:r>
      <w:r w:rsidRPr="00C02440">
        <w:rPr>
          <w:bCs/>
        </w:rPr>
        <w:t xml:space="preserve"> to Scandinavian tourism industry, 2011;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</w:pPr>
      <w:r w:rsidRPr="00C02440">
        <w:rPr>
          <w:rFonts w:cs="OfficinaSans-Bold"/>
          <w:bCs/>
        </w:rPr>
        <w:t xml:space="preserve">Eine Zukunft für Berlin. </w:t>
      </w:r>
      <w:r w:rsidRPr="00C02440">
        <w:rPr>
          <w:rFonts w:cs="OfficinaSans-Book"/>
        </w:rPr>
        <w:t>Prognos-Studie zu den Perspektiven der Stadt, Berliner Bank, 2010;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DIN-Bold"/>
          <w:bCs/>
        </w:rPr>
      </w:pPr>
      <w:r w:rsidRPr="00C02440">
        <w:rPr>
          <w:rFonts w:cs="DIN-Bold"/>
          <w:bCs/>
        </w:rPr>
        <w:t>Experience design in city tourism. How tourists design their experiences before, during and after their holidays in 14 Nordic and Baltic cities, 2008;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-Bold"/>
          <w:bCs/>
        </w:rPr>
      </w:pPr>
      <w:r w:rsidRPr="00C02440">
        <w:rPr>
          <w:rFonts w:cs="Tahoma-Bold"/>
          <w:bCs/>
        </w:rPr>
        <w:t>Experience Design in Helsinki, 2008;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C02440">
        <w:rPr>
          <w:rFonts w:cs="FoundryFormSerifDemiOSF"/>
        </w:rPr>
        <w:t>Helsinki Tourism in 2012, 2013;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Galimybių studija „Vilniaus kūrybinių industrijų žemėlapis“, </w:t>
      </w:r>
      <w:r w:rsidRPr="00C02440">
        <w:t>Vilniaus Gedimino technikos universitetas, Atvirojo kodo institutas, 2010;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>Helsin</w:t>
      </w:r>
      <w:r w:rsidR="0022091E" w:rsidRPr="00C02440">
        <w:t>k</w:t>
      </w:r>
      <w:r w:rsidRPr="00C02440">
        <w:t xml:space="preserve">io oficialus turizmo internetinis tinklalapis, </w:t>
      </w:r>
      <w:hyperlink r:id="rId9" w:history="1">
        <w:r w:rsidRPr="00C02440">
          <w:rPr>
            <w:rStyle w:val="Hyperlink"/>
            <w:color w:val="auto"/>
          </w:rPr>
          <w:t>http://www.visithelsinki.fi/en</w:t>
        </w:r>
      </w:hyperlink>
      <w:r w:rsidR="000E6694" w:rsidRPr="00C02440">
        <w:t>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 xml:space="preserve">Helsinkio miesto internetinis tinklalapis, </w:t>
      </w:r>
      <w:hyperlink r:id="rId10" w:history="1">
        <w:r w:rsidRPr="00C02440">
          <w:rPr>
            <w:rStyle w:val="Hyperlink"/>
            <w:color w:val="auto"/>
          </w:rPr>
          <w:t>http://www.helsinki.fi/eng/</w:t>
        </w:r>
      </w:hyperlink>
      <w:r w:rsidR="000E6694" w:rsidRPr="00C02440">
        <w:t>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C02440">
        <w:rPr>
          <w:rFonts w:cs="Arial"/>
          <w:bCs/>
        </w:rPr>
        <w:t>Imagebefragung: Tourismusstandort Berlin in seiner bezirklichen Vielfalt, 2006;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 xml:space="preserve">International Congress and Convention Association, </w:t>
      </w:r>
      <w:hyperlink r:id="rId11" w:history="1">
        <w:r w:rsidRPr="00C02440">
          <w:rPr>
            <w:rStyle w:val="Hyperlink"/>
            <w:color w:val="auto"/>
          </w:rPr>
          <w:t>http://iccaworld.com/</w:t>
        </w:r>
      </w:hyperlink>
    </w:p>
    <w:p w:rsidR="00895FC7" w:rsidRPr="00C02440" w:rsidRDefault="000E6694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>Kartotiniai kiekybiniai rinkos tyrimai skirti įvertinti vartotojų naudojimosi viešosiomis/ administracinėmis paslaugomis pasitenkinimą, LR Vidaus reikalų ministerija / UAB „Ekonominės konsultacijos ir tyrimai“ ir UAB „Rinkos tyrimų centras“, 2011-2012;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>Kokybinis rinkos tyrimas, skirtas įvertinti vartotojų naudojimosi viešosiomis/administracinėmis paslaugomis lūkesčius ir pasitenkinimą</w:t>
      </w:r>
      <w:r w:rsidR="000E6694" w:rsidRPr="00C02440">
        <w:rPr>
          <w:rFonts w:eastAsia="Calibri"/>
        </w:rPr>
        <w:t xml:space="preserve">, </w:t>
      </w:r>
      <w:r w:rsidRPr="00C02440">
        <w:rPr>
          <w:rFonts w:eastAsia="Calibri"/>
        </w:rPr>
        <w:t>LR Vidaus reikalų ministerija / UAB „Ekonominės konsultacijos ir tyrimai“ ir UAB „Rinkos tyrimų centras“</w:t>
      </w:r>
      <w:r w:rsidR="000E6694" w:rsidRPr="00C02440">
        <w:rPr>
          <w:rFonts w:eastAsia="Calibri"/>
        </w:rPr>
        <w:t>, 2011</w:t>
      </w:r>
      <w:r w:rsidRPr="00C02440">
        <w:rPr>
          <w:rFonts w:eastAsia="Calibri"/>
        </w:rPr>
        <w:t>;</w:t>
      </w:r>
    </w:p>
    <w:p w:rsidR="004F4BAF" w:rsidRPr="00C02440" w:rsidRDefault="008A58FC" w:rsidP="004F4BAF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 xml:space="preserve"> </w:t>
      </w:r>
      <w:r w:rsidR="004F4BAF" w:rsidRPr="00C02440">
        <w:rPr>
          <w:bCs/>
        </w:rPr>
        <w:t xml:space="preserve">Lankytojų iš užsienio kasmetinės apklausos, </w:t>
      </w:r>
      <w:r w:rsidR="004F4BAF" w:rsidRPr="00C02440">
        <w:t>Valstybinis turizmo departamentas/ Statistikos departamentas prie LR Vyriausybės;</w:t>
      </w:r>
    </w:p>
    <w:p w:rsidR="004F4BAF" w:rsidRPr="00C02440" w:rsidRDefault="004F4BAF" w:rsidP="004F4BAF">
      <w:pPr>
        <w:pStyle w:val="ListParagraph"/>
        <w:numPr>
          <w:ilvl w:val="0"/>
          <w:numId w:val="1"/>
        </w:numPr>
      </w:pPr>
      <w:r w:rsidRPr="00C02440">
        <w:t>Latvijos turizmo rinkodaros strategija 2010-2015 m. 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Lietuvos ekonominio įvaizdžio studija, </w:t>
      </w:r>
      <w:r w:rsidRPr="00C02440">
        <w:t>Lietuvos ekonominės plėtros agentūra (LEPA)/ „Saffron Brand Consultants“, 2009;</w:t>
      </w:r>
    </w:p>
    <w:p w:rsidR="004F4BAF" w:rsidRPr="00C02440" w:rsidRDefault="004F4BAF" w:rsidP="004F4BAF">
      <w:pPr>
        <w:pStyle w:val="ListParagraph"/>
        <w:numPr>
          <w:ilvl w:val="0"/>
          <w:numId w:val="1"/>
        </w:numPr>
      </w:pPr>
      <w:r w:rsidRPr="00C02440">
        <w:t xml:space="preserve">Lietuvos statistikos departamentas, </w:t>
      </w:r>
      <w:hyperlink r:id="rId12" w:history="1">
        <w:r w:rsidRPr="00C02440">
          <w:rPr>
            <w:rStyle w:val="Hyperlink"/>
            <w:color w:val="auto"/>
          </w:rPr>
          <w:t>http://www.stat.gov.lt/</w:t>
        </w:r>
      </w:hyperlink>
      <w:r w:rsidRPr="00C02440">
        <w:t>;</w:t>
      </w:r>
    </w:p>
    <w:p w:rsidR="000E6694" w:rsidRPr="00C02440" w:rsidRDefault="000E6694" w:rsidP="000E6694">
      <w:pPr>
        <w:pStyle w:val="ListParagraph"/>
        <w:numPr>
          <w:ilvl w:val="0"/>
          <w:numId w:val="1"/>
        </w:numPr>
      </w:pPr>
      <w:r w:rsidRPr="00C02440">
        <w:rPr>
          <w:bCs/>
        </w:rPr>
        <w:t>Lietuvos turizmo komunikacijos ir rinkodaros strategija 2009–2013 m.</w:t>
      </w:r>
      <w:r w:rsidRPr="00C02440">
        <w:rPr>
          <w:rFonts w:eastAsia="Times New Roman"/>
        </w:rPr>
        <w:t xml:space="preserve"> , Valstybinis turizmo departamentas prie Ūkio ministerijos/ UAB „Idea Prima“, 2008;</w:t>
      </w:r>
    </w:p>
    <w:p w:rsidR="004F4BAF" w:rsidRPr="00C02440" w:rsidRDefault="004F4BAF" w:rsidP="004F4BAF">
      <w:pPr>
        <w:pStyle w:val="ListParagraph"/>
        <w:numPr>
          <w:ilvl w:val="0"/>
          <w:numId w:val="1"/>
        </w:numPr>
      </w:pPr>
      <w:r w:rsidRPr="00C02440">
        <w:rPr>
          <w:rFonts w:eastAsia="Calibri" w:cs="Calibri"/>
          <w:bCs/>
        </w:rPr>
        <w:lastRenderedPageBreak/>
        <w:t xml:space="preserve">Lietuvos turizmo potencialo įvertinimo, nustatant didžiausias turistinės traukos vietoves ir jų panaudojimo prioritetus, studija, </w:t>
      </w:r>
      <w:r w:rsidRPr="00C02440">
        <w:t>Valstybinis turizmo departamentas prie Ūkio ministerijos/ Všį Turizmo plėtros institutas, 2011;</w:t>
      </w:r>
      <w:r w:rsidRPr="00C02440">
        <w:rPr>
          <w:bCs/>
        </w:rPr>
        <w:t xml:space="preserve"> </w:t>
      </w:r>
    </w:p>
    <w:p w:rsidR="004F4BAF" w:rsidRPr="00C02440" w:rsidRDefault="004F4BAF" w:rsidP="004F4BAF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Lietuvos turizmo ir verslo prekės ženklo sukūrimas (kokybinis ir kiekybinis tyrimai), </w:t>
      </w:r>
      <w:r w:rsidRPr="00C02440">
        <w:t>Lietuvos turizmo fondas / TNS Gallup, 2006;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bCs/>
        </w:rPr>
        <w:t>Lithuania: Talented. Connecting. Welcoming</w:t>
      </w:r>
      <w:r w:rsidRPr="00C02440">
        <w:rPr>
          <w:bCs/>
          <w:iCs/>
        </w:rPr>
        <w:t>., Invest in Lithuania, 2012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Cs/>
        </w:rPr>
      </w:pPr>
      <w:r w:rsidRPr="00C02440">
        <w:rPr>
          <w:bCs/>
        </w:rPr>
        <w:t>Mapping Scandinavia on China’s internet Perspectives for Scandinavian city tourism, 2013;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C02440">
        <w:rPr>
          <w:rFonts w:cs="TrebuchetMS,Bold"/>
          <w:bCs/>
        </w:rPr>
        <w:t xml:space="preserve">MEDIA AND BRANDS. A study of Helsinki’s Brand Image  Acknowledgement in Foreign Media, </w:t>
      </w:r>
      <w:r w:rsidRPr="00C02440">
        <w:rPr>
          <w:rFonts w:cs="TrebuchetMS"/>
        </w:rPr>
        <w:t>Irene Biedma-Martinez, 2012;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Mokslinis tiriamasis darbas „Tarptautinių konferencijų turizmo plėtros programinė studija“, </w:t>
      </w:r>
      <w:r w:rsidRPr="00C02440">
        <w:t>LR Ūkio ministerija / VšĮ Socialinės ir ekonominės plėtros centras“, 2005;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Verdana"/>
          <w:bCs/>
        </w:rPr>
      </w:pPr>
      <w:r w:rsidRPr="00C02440">
        <w:rPr>
          <w:bCs/>
        </w:rPr>
        <w:t xml:space="preserve">Review of China’s Outbound Travel Market 2013 Perspectives for Scandinavian city tourism, </w:t>
      </w:r>
      <w:r w:rsidRPr="00C02440">
        <w:rPr>
          <w:rFonts w:cs="Verdana"/>
          <w:bCs/>
        </w:rPr>
        <w:t>2013;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-Bold"/>
          <w:bCs/>
        </w:rPr>
      </w:pPr>
      <w:r w:rsidRPr="00C02440">
        <w:rPr>
          <w:rFonts w:cs="Tahoma-Bold"/>
          <w:bCs/>
        </w:rPr>
        <w:t>Rīgas ilgtermiņa attīstības stratēģija līdz 2025. Gadam „Rīga – iespēja ikvienam!”, 2005;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-Bold"/>
          <w:bCs/>
        </w:rPr>
      </w:pPr>
      <w:r w:rsidRPr="00C02440">
        <w:rPr>
          <w:rFonts w:cs="Tahoma-Bold"/>
          <w:bCs/>
        </w:rPr>
        <w:t>Riga Municipality Annual Report, 2012;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>Rygos ofici</w:t>
      </w:r>
      <w:r w:rsidR="0022091E" w:rsidRPr="00C02440">
        <w:t>al</w:t>
      </w:r>
      <w:r w:rsidRPr="00C02440">
        <w:t xml:space="preserve">us turizmo internetinis tinklalapis, </w:t>
      </w:r>
      <w:hyperlink r:id="rId13" w:history="1">
        <w:r w:rsidRPr="00C02440">
          <w:rPr>
            <w:rStyle w:val="Hyperlink"/>
            <w:color w:val="auto"/>
          </w:rPr>
          <w:t>http://www.liveriga.com/en/</w:t>
        </w:r>
      </w:hyperlink>
      <w:r w:rsidR="0022091E" w:rsidRPr="00C02440">
        <w:t>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Study on the Competitiveness of the EU tourism industry - with specific focus on the accommodation and tour operator &amp; travel agent industrines, </w:t>
      </w:r>
      <w:r w:rsidRPr="00C02440">
        <w:t>Įmonių ir pramonės generalinis direktoratas, Europos Komisija/ ECORYS SCS Group, 2009;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,Bold"/>
          <w:bCs/>
        </w:rPr>
      </w:pPr>
      <w:r w:rsidRPr="00C02440">
        <w:rPr>
          <w:rFonts w:cs="Arial,Bold"/>
          <w:bCs/>
        </w:rPr>
        <w:t xml:space="preserve">Success Factors Of Place Marketing: A Study Of Place Marketing Practices In Northern Europe And The United States, </w:t>
      </w:r>
      <w:r w:rsidRPr="00C02440">
        <w:rPr>
          <w:rFonts w:cs="TimesNewRoman,Bold"/>
          <w:bCs/>
        </w:rPr>
        <w:t>Seppo K Rainisto, 2003</w:t>
      </w:r>
    </w:p>
    <w:p w:rsidR="00895FC7" w:rsidRPr="00C02440" w:rsidRDefault="00895FC7" w:rsidP="00895F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Verdana"/>
          <w:bCs/>
        </w:rPr>
      </w:pPr>
      <w:r w:rsidRPr="00C02440">
        <w:rPr>
          <w:bCs/>
        </w:rPr>
        <w:t xml:space="preserve">Survey of Chinese visitors to Scandinavia Perspectives for Scandinavian city tourism, </w:t>
      </w:r>
      <w:r w:rsidRPr="00C02440">
        <w:rPr>
          <w:rFonts w:cs="Verdana"/>
          <w:bCs/>
        </w:rPr>
        <w:t>2013;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</w:pPr>
      <w:r w:rsidRPr="00C02440">
        <w:rPr>
          <w:bCs/>
        </w:rPr>
        <w:t xml:space="preserve">Survey on the attitudes of Europeans towards tourism, </w:t>
      </w:r>
      <w:r w:rsidRPr="00C02440">
        <w:t>Įmonių ir pramonės generalinis direktoratas, Europos Komisija/  Eurobarometer;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 w:cs="Calibri"/>
          <w:bCs/>
        </w:rPr>
        <w:t xml:space="preserve">Turizmo sektoriaus konkurencingumo stiprinimas Vilniaus apskrityje“, </w:t>
      </w:r>
      <w:r w:rsidRPr="00C02440">
        <w:t>Vilniaus apskrities viršininko administracija/ Turizmo plėtros institutas</w:t>
      </w:r>
      <w:r w:rsidR="0022091E" w:rsidRPr="00C02440">
        <w:t>, 2010;</w:t>
      </w:r>
    </w:p>
    <w:p w:rsidR="00910FEE" w:rsidRPr="00C02440" w:rsidRDefault="00910FEE" w:rsidP="00910FEE">
      <w:pPr>
        <w:pStyle w:val="ListParagraph"/>
        <w:numPr>
          <w:ilvl w:val="0"/>
          <w:numId w:val="1"/>
        </w:numPr>
      </w:pPr>
      <w:r w:rsidRPr="00C02440">
        <w:t>Vilniaus miesto savivaldybės administracijos internetinis tinklalapis http://www.vilnius.lt/</w:t>
      </w:r>
    </w:p>
    <w:p w:rsidR="00910FEE" w:rsidRPr="00C02440" w:rsidRDefault="00910FEE" w:rsidP="00910FEE">
      <w:pPr>
        <w:pStyle w:val="ListParagraph"/>
        <w:numPr>
          <w:ilvl w:val="0"/>
          <w:numId w:val="1"/>
        </w:numPr>
      </w:pPr>
      <w:r w:rsidRPr="00C02440">
        <w:t>Vilniaus m. turizmo ir informacijos centro internetinis tinklalapis, http://www.vilnius-tourism.lt/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</w:pPr>
      <w:r w:rsidRPr="00C02440">
        <w:t xml:space="preserve">Vilniaus konferencijų biuras, </w:t>
      </w:r>
      <w:hyperlink r:id="rId14" w:history="1">
        <w:r w:rsidRPr="00C02440">
          <w:rPr>
            <w:rStyle w:val="Hyperlink"/>
            <w:color w:val="auto"/>
          </w:rPr>
          <w:t>http://www.vilnius-convention.lt/lt/titulinis.html</w:t>
        </w:r>
      </w:hyperlink>
      <w:r w:rsidRPr="00C02440">
        <w:t>;</w:t>
      </w:r>
    </w:p>
    <w:p w:rsidR="0022091E" w:rsidRPr="00C02440" w:rsidRDefault="0022091E" w:rsidP="0022091E">
      <w:pPr>
        <w:pStyle w:val="ListParagraph"/>
        <w:numPr>
          <w:ilvl w:val="0"/>
          <w:numId w:val="1"/>
        </w:numPr>
      </w:pPr>
      <w:r w:rsidRPr="00C02440">
        <w:t>Vilniaus miesto bendrasis planas iki 2015 m.;</w:t>
      </w:r>
    </w:p>
    <w:p w:rsidR="00910FEE" w:rsidRPr="00C02440" w:rsidRDefault="00910FEE" w:rsidP="00910FEE">
      <w:pPr>
        <w:pStyle w:val="ListParagraph"/>
        <w:numPr>
          <w:ilvl w:val="0"/>
          <w:numId w:val="1"/>
        </w:numPr>
      </w:pPr>
      <w:r w:rsidRPr="00C02440">
        <w:t xml:space="preserve">Vilniaus renginių mozaika, </w:t>
      </w:r>
      <w:hyperlink r:id="rId15" w:history="1">
        <w:r w:rsidRPr="00C02440">
          <w:rPr>
            <w:rStyle w:val="Hyperlink"/>
            <w:color w:val="auto"/>
          </w:rPr>
          <w:t>http://www.vilnius-events.lt/lt</w:t>
        </w:r>
      </w:hyperlink>
    </w:p>
    <w:p w:rsidR="00A828C3" w:rsidRPr="00C02440" w:rsidRDefault="00A828C3">
      <w:pPr>
        <w:pStyle w:val="ListParagraph"/>
        <w:numPr>
          <w:ilvl w:val="0"/>
          <w:numId w:val="1"/>
        </w:numPr>
      </w:pPr>
      <w:r w:rsidRPr="00C02440">
        <w:t>Vilniaus m. strateginis planas</w:t>
      </w:r>
      <w:r w:rsidR="0022091E" w:rsidRPr="00C02440">
        <w:t xml:space="preserve"> 2010-2020 m.</w:t>
      </w:r>
      <w:r w:rsidRPr="00C02440">
        <w:t>;</w:t>
      </w:r>
      <w:r w:rsidRPr="00C02440">
        <w:rPr>
          <w:rFonts w:eastAsia="Calibri"/>
        </w:rPr>
        <w:t xml:space="preserve"> </w:t>
      </w:r>
    </w:p>
    <w:p w:rsidR="00A828C3" w:rsidRPr="00C02440" w:rsidRDefault="00A828C3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 xml:space="preserve">Vilniaus miesto gyventojų apklausa (rengiant </w:t>
      </w:r>
      <w:r w:rsidRPr="00C02440">
        <w:rPr>
          <w:rFonts w:eastAsia="Times New Roman"/>
          <w:kern w:val="20"/>
        </w:rPr>
        <w:t>Vilniaus miesto 2010 – 2020 m. strateginį planą</w:t>
      </w:r>
      <w:r w:rsidRPr="00C02440">
        <w:rPr>
          <w:rFonts w:eastAsia="Calibri"/>
        </w:rPr>
        <w:t xml:space="preserve"> (Vilniaus miesto savivaldybė / </w:t>
      </w:r>
      <w:r w:rsidRPr="00C02440">
        <w:t>UAB „Ekonominės konsultacijos ir tyrimai“, UAB „SAVVIN“ ir VšĮ „Lietuvos savivaldybių asociacijos mokymo ir konsultavimo centras“</w:t>
      </w:r>
      <w:r w:rsidR="0022091E" w:rsidRPr="00C02440">
        <w:t>);</w:t>
      </w:r>
    </w:p>
    <w:p w:rsidR="008A58FC" w:rsidRPr="00C02440" w:rsidRDefault="00A828C3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 xml:space="preserve"> </w:t>
      </w:r>
      <w:r w:rsidR="008A58FC" w:rsidRPr="00C02440">
        <w:rPr>
          <w:bCs/>
        </w:rPr>
        <w:t xml:space="preserve">Vilniaus lankytojų apklausos, </w:t>
      </w:r>
      <w:r w:rsidR="008A58FC" w:rsidRPr="00C02440">
        <w:t>Vilniaus m. savivaldybės administracija / UAB „Eurotela“;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rPr>
          <w:rFonts w:eastAsia="Calibri" w:cs="Calibri"/>
          <w:bCs/>
        </w:rPr>
        <w:t>Vilniaus miesto įvaizdžio tyrimas</w:t>
      </w:r>
      <w:r w:rsidRPr="00C02440">
        <w:t>, Vilniaus miesto savivaldybės administracija/ UAB „Synoptycom“, 2013;</w:t>
      </w:r>
    </w:p>
    <w:p w:rsidR="008A58FC" w:rsidRPr="00C02440" w:rsidRDefault="008A58FC" w:rsidP="008A58FC">
      <w:pPr>
        <w:pStyle w:val="ListParagraph"/>
        <w:numPr>
          <w:ilvl w:val="0"/>
          <w:numId w:val="1"/>
        </w:numPr>
      </w:pPr>
      <w:r w:rsidRPr="00C02440">
        <w:t xml:space="preserve">Vilniaus miesto susisiekimo </w:t>
      </w:r>
      <w:r w:rsidR="0022091E" w:rsidRPr="00C02440">
        <w:t xml:space="preserve">sistemos </w:t>
      </w:r>
      <w:r w:rsidRPr="00C02440">
        <w:t xml:space="preserve">esama būklė, </w:t>
      </w:r>
      <w:r w:rsidRPr="00C02440">
        <w:rPr>
          <w:rFonts w:cs="Tahoma"/>
        </w:rPr>
        <w:t>SĮ „Vilniaus planas“, 2010;</w:t>
      </w:r>
    </w:p>
    <w:p w:rsidR="00A828C3" w:rsidRPr="00C02440" w:rsidRDefault="00A828C3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>Užsienio turistų išlaidos Vilniaus mieste (Vilniaus lankytojų apklausa) (Vilniaus miesto savivaldybės administracija/ UAB „Eurotela“);</w:t>
      </w:r>
    </w:p>
    <w:p w:rsidR="00A828C3" w:rsidRPr="00C02440" w:rsidRDefault="00A828C3">
      <w:pPr>
        <w:pStyle w:val="ListParagraph"/>
        <w:numPr>
          <w:ilvl w:val="0"/>
          <w:numId w:val="1"/>
        </w:numPr>
      </w:pPr>
      <w:r w:rsidRPr="00C02440">
        <w:rPr>
          <w:rFonts w:eastAsia="Calibri"/>
        </w:rPr>
        <w:t>Užsienio ir Lietuvos turistų apklausa apie Vilniaus regioną (Vilniaus apskrities viršininko administracija/ VšĮ „Turizmo plėtros institutas“);</w:t>
      </w:r>
    </w:p>
    <w:p w:rsidR="001A6DD3" w:rsidRPr="00C02440" w:rsidRDefault="000F704A" w:rsidP="001D5A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C02440">
        <w:rPr>
          <w:rFonts w:cs="SparkasseLtCE"/>
        </w:rPr>
        <w:lastRenderedPageBreak/>
        <w:t xml:space="preserve">Tourismusbarometer, </w:t>
      </w:r>
      <w:r w:rsidRPr="00C02440">
        <w:rPr>
          <w:rFonts w:cs="SparkasseRgCE"/>
        </w:rPr>
        <w:t>Jahresbericht 2011;</w:t>
      </w:r>
    </w:p>
    <w:p w:rsidR="001A6DD3" w:rsidRPr="00C02440" w:rsidRDefault="001D5AC1" w:rsidP="001D5A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C02440">
        <w:rPr>
          <w:rFonts w:cs="BMFChangeLetter-Bold"/>
          <w:bCs/>
        </w:rPr>
        <w:t>Tourismuskonzept Berlin</w:t>
      </w:r>
      <w:r w:rsidR="001A6DD3" w:rsidRPr="00C02440">
        <w:rPr>
          <w:rFonts w:cs="BMFChangeLetter-Bold"/>
          <w:bCs/>
        </w:rPr>
        <w:t xml:space="preserve"> </w:t>
      </w:r>
      <w:r w:rsidRPr="00C02440">
        <w:rPr>
          <w:rFonts w:cs="BMFChangeLetter"/>
        </w:rPr>
        <w:t>Handlungsrahmen 2011+;</w:t>
      </w:r>
    </w:p>
    <w:p w:rsidR="001A6DD3" w:rsidRPr="00C02440" w:rsidRDefault="001A6DD3" w:rsidP="0022091E">
      <w:pPr>
        <w:pStyle w:val="ListParagraph"/>
        <w:autoSpaceDE w:val="0"/>
        <w:autoSpaceDN w:val="0"/>
        <w:adjustRightInd w:val="0"/>
        <w:spacing w:after="0" w:line="240" w:lineRule="auto"/>
        <w:rPr>
          <w:rFonts w:cs="Tahoma-Bold"/>
          <w:bCs/>
        </w:rPr>
      </w:pPr>
    </w:p>
    <w:sectPr w:rsidR="001A6DD3" w:rsidRPr="00C02440" w:rsidSect="00542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altName w:val="Vodafone ExB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oundryFormSerifDemiOS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parkasseLtC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parkasseRgC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MFChangeLetter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MFChangeLet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A3FD1"/>
    <w:multiLevelType w:val="hybridMultilevel"/>
    <w:tmpl w:val="E880FCB0"/>
    <w:lvl w:ilvl="0" w:tplc="32380728">
      <w:start w:val="1"/>
      <w:numFmt w:val="bullet"/>
      <w:pStyle w:val="Table"/>
      <w:lvlText w:val="▪"/>
      <w:lvlJc w:val="left"/>
      <w:pPr>
        <w:tabs>
          <w:tab w:val="num" w:pos="720"/>
        </w:tabs>
        <w:ind w:firstLine="567"/>
      </w:pPr>
      <w:rPr>
        <w:rFonts w:ascii="Garamond" w:hAnsi="Garamond" w:hint="default"/>
        <w:color w:val="000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472448"/>
    <w:multiLevelType w:val="hybridMultilevel"/>
    <w:tmpl w:val="95403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0FEE"/>
    <w:rsid w:val="00000D7E"/>
    <w:rsid w:val="000E6694"/>
    <w:rsid w:val="000F704A"/>
    <w:rsid w:val="001A6DD3"/>
    <w:rsid w:val="001D5AC1"/>
    <w:rsid w:val="0022091E"/>
    <w:rsid w:val="00254584"/>
    <w:rsid w:val="0033039B"/>
    <w:rsid w:val="003E16C9"/>
    <w:rsid w:val="00417877"/>
    <w:rsid w:val="004F4BAF"/>
    <w:rsid w:val="00542518"/>
    <w:rsid w:val="0066135E"/>
    <w:rsid w:val="006B1187"/>
    <w:rsid w:val="006B7901"/>
    <w:rsid w:val="007F0544"/>
    <w:rsid w:val="007F33D0"/>
    <w:rsid w:val="007F788F"/>
    <w:rsid w:val="00895FC7"/>
    <w:rsid w:val="008A58FC"/>
    <w:rsid w:val="00910FEE"/>
    <w:rsid w:val="009A4E70"/>
    <w:rsid w:val="009E6AC2"/>
    <w:rsid w:val="00A828C3"/>
    <w:rsid w:val="00BE53DC"/>
    <w:rsid w:val="00C02440"/>
    <w:rsid w:val="00C363F0"/>
    <w:rsid w:val="00D4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518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FE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FEE"/>
    <w:rPr>
      <w:color w:val="0000FF" w:themeColor="hyperlink"/>
      <w:u w:val="single"/>
    </w:rPr>
  </w:style>
  <w:style w:type="paragraph" w:customStyle="1" w:styleId="Table">
    <w:name w:val="Table"/>
    <w:basedOn w:val="Normal"/>
    <w:uiPriority w:val="99"/>
    <w:rsid w:val="00A828C3"/>
    <w:pPr>
      <w:numPr>
        <w:numId w:val="2"/>
      </w:numPr>
      <w:shd w:val="clear" w:color="auto" w:fill="FFFFFF"/>
      <w:spacing w:after="0" w:line="360" w:lineRule="auto"/>
      <w:jc w:val="both"/>
    </w:pPr>
    <w:rPr>
      <w:rFonts w:ascii="Franklin Gothic Book" w:eastAsia="Times New Roman" w:hAnsi="Franklin Gothic Book" w:cs="Times New Roman"/>
      <w:b/>
      <w:color w:val="333399"/>
      <w:szCs w:val="24"/>
      <w:lang w:eastAsia="lt-LT"/>
    </w:rPr>
  </w:style>
  <w:style w:type="paragraph" w:customStyle="1" w:styleId="altinis">
    <w:name w:val="Šaltinis"/>
    <w:basedOn w:val="NoSpacing"/>
    <w:link w:val="altinisChar"/>
    <w:qFormat/>
    <w:rsid w:val="0066135E"/>
    <w:pPr>
      <w:jc w:val="both"/>
    </w:pPr>
    <w:rPr>
      <w:rFonts w:ascii="Franklin Gothic Book" w:eastAsia="Cambria" w:hAnsi="Franklin Gothic Book" w:cs="Times New Roman"/>
      <w:sz w:val="18"/>
      <w:szCs w:val="24"/>
      <w:lang w:val="en-US"/>
    </w:rPr>
  </w:style>
  <w:style w:type="character" w:customStyle="1" w:styleId="altinisChar">
    <w:name w:val="Šaltinis Char"/>
    <w:link w:val="altinis"/>
    <w:rsid w:val="0066135E"/>
    <w:rPr>
      <w:rFonts w:ascii="Franklin Gothic Book" w:eastAsia="Cambria" w:hAnsi="Franklin Gothic Book" w:cs="Times New Roman"/>
      <w:sz w:val="18"/>
      <w:szCs w:val="24"/>
    </w:rPr>
  </w:style>
  <w:style w:type="paragraph" w:styleId="NoSpacing">
    <w:name w:val="No Spacing"/>
    <w:uiPriority w:val="1"/>
    <w:qFormat/>
    <w:rsid w:val="0066135E"/>
    <w:pPr>
      <w:spacing w:after="0" w:line="240" w:lineRule="auto"/>
    </w:pPr>
    <w:rPr>
      <w:lang w:val="lt-LT"/>
    </w:rPr>
  </w:style>
  <w:style w:type="paragraph" w:customStyle="1" w:styleId="Default">
    <w:name w:val="Default"/>
    <w:rsid w:val="006B118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DC"/>
    <w:rPr>
      <w:rFonts w:ascii="Tahoma" w:hAnsi="Tahoma" w:cs="Tahoma"/>
      <w:sz w:val="16"/>
      <w:szCs w:val="16"/>
      <w:lang w:val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p.eurostat.ec.europa.eu/portal/page/portal/eurostat/home/" TargetMode="External"/><Relationship Id="rId13" Type="http://schemas.openxmlformats.org/officeDocument/2006/relationships/hyperlink" Target="http://www.liveriga.com/en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rlin.de/" TargetMode="External"/><Relationship Id="rId12" Type="http://schemas.openxmlformats.org/officeDocument/2006/relationships/hyperlink" Target="http://www.stat.gov.l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berlin-partner.de/marketing/markenkampagne.html" TargetMode="External"/><Relationship Id="rId11" Type="http://schemas.openxmlformats.org/officeDocument/2006/relationships/hyperlink" Target="http://iccaworld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ilnius-events.lt/lt" TargetMode="External"/><Relationship Id="rId10" Type="http://schemas.openxmlformats.org/officeDocument/2006/relationships/hyperlink" Target="http://www.helsinki.fi/e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sithelsinki.fi/en" TargetMode="External"/><Relationship Id="rId14" Type="http://schemas.openxmlformats.org/officeDocument/2006/relationships/hyperlink" Target="http://www.vilnius-convention.lt/lt/titulin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5EC35-3508-4FFF-A951-ECD36785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959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</dc:creator>
  <cp:lastModifiedBy>Agne</cp:lastModifiedBy>
  <cp:revision>25</cp:revision>
  <dcterms:created xsi:type="dcterms:W3CDTF">2013-10-31T09:54:00Z</dcterms:created>
  <dcterms:modified xsi:type="dcterms:W3CDTF">2013-10-31T11:29:00Z</dcterms:modified>
</cp:coreProperties>
</file>